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8D4C" w14:textId="77777777" w:rsidR="00A97B7D" w:rsidRPr="00A97B7D" w:rsidRDefault="00A97B7D" w:rsidP="00A97B7D">
      <w:pPr>
        <w:keepNext/>
        <w:keepLines/>
        <w:spacing w:before="240" w:after="0" w:line="240" w:lineRule="auto"/>
        <w:ind w:left="2694" w:right="2834"/>
        <w:jc w:val="center"/>
        <w:outlineLvl w:val="0"/>
        <w:rPr>
          <w:rFonts w:ascii="Times New Roman" w:eastAsiaTheme="majorEastAsia" w:hAnsi="Times New Roman" w:cs="Times New Roman"/>
          <w:b/>
          <w:color w:val="000000" w:themeColor="text1"/>
          <w:sz w:val="28"/>
          <w:szCs w:val="40"/>
        </w:rPr>
      </w:pPr>
      <w:bookmarkStart w:id="0" w:name="_Toc221706948"/>
      <w:r w:rsidRPr="00A97B7D">
        <w:rPr>
          <w:rFonts w:ascii="Times New Roman" w:eastAsiaTheme="majorEastAsia" w:hAnsi="Times New Roman" w:cs="Times New Roman"/>
          <w:b/>
          <w:color w:val="000000" w:themeColor="text1"/>
          <w:sz w:val="28"/>
          <w:szCs w:val="40"/>
        </w:rPr>
        <w:t>BAB I PENDAHULUAN</w:t>
      </w:r>
      <w:bookmarkEnd w:id="0"/>
    </w:p>
    <w:p w14:paraId="6E9156FA" w14:textId="77777777" w:rsidR="00A97B7D" w:rsidRPr="00A97B7D" w:rsidRDefault="00A97B7D" w:rsidP="00A97B7D">
      <w:pPr>
        <w:keepNext/>
        <w:keepLines/>
        <w:numPr>
          <w:ilvl w:val="1"/>
          <w:numId w:val="1"/>
        </w:numPr>
        <w:spacing w:before="160" w:after="80" w:line="360" w:lineRule="auto"/>
        <w:outlineLvl w:val="1"/>
        <w:rPr>
          <w:rFonts w:ascii="Times New Roman" w:eastAsiaTheme="majorEastAsia" w:hAnsi="Times New Roman" w:cs="Times New Roman"/>
          <w:b/>
          <w:color w:val="000000" w:themeColor="text1"/>
          <w:sz w:val="24"/>
          <w:szCs w:val="32"/>
        </w:rPr>
      </w:pPr>
      <w:bookmarkStart w:id="1" w:name="_Toc221706949"/>
      <w:r w:rsidRPr="00A97B7D">
        <w:rPr>
          <w:rFonts w:ascii="Times New Roman" w:eastAsiaTheme="majorEastAsia" w:hAnsi="Times New Roman" w:cs="Times New Roman"/>
          <w:b/>
          <w:color w:val="000000" w:themeColor="text1"/>
          <w:sz w:val="24"/>
          <w:szCs w:val="32"/>
        </w:rPr>
        <w:t>Latar Belakang</w:t>
      </w:r>
      <w:bookmarkEnd w:id="1"/>
    </w:p>
    <w:p w14:paraId="58C2A1C4"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 xml:space="preserve">Wilayah Sumatera saat ini terdiri dari sistem Interkoneksi Sumatera dan sistem – sistem </w:t>
      </w:r>
      <w:r w:rsidRPr="00A97B7D">
        <w:rPr>
          <w:rFonts w:ascii="Times New Roman" w:hAnsi="Times New Roman" w:cs="Times New Roman"/>
          <w:i/>
          <w:iCs/>
          <w:sz w:val="24"/>
          <w:szCs w:val="24"/>
        </w:rPr>
        <w:t>isolated</w:t>
      </w:r>
      <w:r w:rsidRPr="00A97B7D">
        <w:rPr>
          <w:rFonts w:ascii="Times New Roman" w:hAnsi="Times New Roman" w:cs="Times New Roman"/>
          <w:sz w:val="24"/>
          <w:szCs w:val="24"/>
        </w:rPr>
        <w:t xml:space="preserve">. Sebagian besar sistem </w:t>
      </w:r>
      <w:r w:rsidRPr="00A97B7D">
        <w:rPr>
          <w:rFonts w:ascii="Times New Roman" w:hAnsi="Times New Roman" w:cs="Times New Roman"/>
          <w:i/>
          <w:iCs/>
          <w:sz w:val="24"/>
          <w:szCs w:val="24"/>
        </w:rPr>
        <w:t>isolated</w:t>
      </w:r>
      <w:r w:rsidRPr="00A97B7D">
        <w:rPr>
          <w:rFonts w:ascii="Times New Roman" w:hAnsi="Times New Roman" w:cs="Times New Roman"/>
          <w:sz w:val="24"/>
          <w:szCs w:val="24"/>
        </w:rPr>
        <w:t xml:space="preserve"> berada di kepulauan dan sebagian lokasinya jauh dari Pulau Sumatera. Per tahun 2025 menurut data Peta </w:t>
      </w:r>
      <w:r w:rsidRPr="00A97B7D">
        <w:rPr>
          <w:rFonts w:ascii="Times New Roman" w:hAnsi="Times New Roman" w:cs="Times New Roman"/>
          <w:i/>
          <w:iCs/>
          <w:sz w:val="24"/>
          <w:szCs w:val="24"/>
        </w:rPr>
        <w:t>Eksisting</w:t>
      </w:r>
      <w:r w:rsidRPr="00A97B7D">
        <w:rPr>
          <w:rFonts w:ascii="Times New Roman" w:hAnsi="Times New Roman" w:cs="Times New Roman"/>
          <w:sz w:val="24"/>
          <w:szCs w:val="24"/>
        </w:rPr>
        <w:t xml:space="preserve"> Jaringan Transmisi Sumatera dan RUPTL 2025-2034, Sistem Sumatera telah </w:t>
      </w:r>
      <w:r w:rsidRPr="00A97B7D">
        <w:rPr>
          <w:rFonts w:ascii="Times New Roman" w:hAnsi="Times New Roman" w:cs="Times New Roman"/>
          <w:i/>
          <w:iCs/>
          <w:sz w:val="24"/>
          <w:szCs w:val="24"/>
        </w:rPr>
        <w:t>terinterkoneksi</w:t>
      </w:r>
      <w:r w:rsidRPr="00A97B7D">
        <w:rPr>
          <w:rFonts w:ascii="Times New Roman" w:hAnsi="Times New Roman" w:cs="Times New Roman"/>
          <w:sz w:val="24"/>
          <w:szCs w:val="24"/>
        </w:rPr>
        <w:t xml:space="preserve"> melalui </w:t>
      </w:r>
      <w:r w:rsidRPr="00A97B7D">
        <w:rPr>
          <w:rFonts w:ascii="Times New Roman" w:hAnsi="Times New Roman" w:cs="Times New Roman"/>
          <w:i/>
          <w:iCs/>
          <w:sz w:val="24"/>
          <w:szCs w:val="24"/>
        </w:rPr>
        <w:t>backbone</w:t>
      </w:r>
      <w:r w:rsidRPr="00A97B7D">
        <w:rPr>
          <w:rFonts w:ascii="Times New Roman" w:hAnsi="Times New Roman" w:cs="Times New Roman"/>
          <w:sz w:val="24"/>
          <w:szCs w:val="24"/>
        </w:rPr>
        <w:t xml:space="preserve"> 275 kV yang telah beroperasi dari Sumatera Utara sampai Sumatera Selatan, di harapkan dengan adanya interkoneksi jaringan 275 kV Sumatera tersebut, keandalan sistem Sumatera dapat meningkat juga dapat mengoptimalkan penyaluran pembangkitan yang berasal dari Sumatera Selatan dan Jambi ke pusat beban secara ekonomis. Sumber daya energi seperti batu bara, panas bumi dan gas cenderung lebih banyak tersedia di Sumatera Bagian Selatan sehingga di wilayah inilah banyak di bangun PLTU Batubara dan PLTP di mana sebagian energi yang di bangkitkan tersebut akan di transfer ke sub sistem yang kekurangan pasokan daya seperti sub Sistem Sumbagut dan Sub sistem Lampung melalui sistem transmisi tegangan ekstra tinggi.</w:t>
      </w:r>
    </w:p>
    <w:p w14:paraId="3DC4BA3D" w14:textId="77777777" w:rsidR="00A97B7D" w:rsidRPr="00A97B7D" w:rsidRDefault="00A97B7D" w:rsidP="00A97B7D">
      <w:pPr>
        <w:keepNext/>
        <w:spacing w:after="0" w:line="360" w:lineRule="auto"/>
        <w:ind w:right="140" w:firstLine="426"/>
        <w:jc w:val="center"/>
      </w:pPr>
      <w:r w:rsidRPr="00A97B7D">
        <w:rPr>
          <w:rFonts w:ascii="Times New Roman" w:hAnsi="Times New Roman" w:cs="Times New Roman"/>
          <w:noProof/>
          <w:sz w:val="24"/>
          <w:szCs w:val="24"/>
        </w:rPr>
        <w:drawing>
          <wp:inline distT="0" distB="0" distL="0" distR="0" wp14:anchorId="1F76C543" wp14:editId="3C7305BC">
            <wp:extent cx="3546195" cy="2359822"/>
            <wp:effectExtent l="0" t="0" r="0" b="2540"/>
            <wp:docPr id="149573217" name="Gambar 63" descr="Sebuah gambar berisi teks, peta, cuplikan layar, atlas&#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3217" name="Gambar 63" descr="Sebuah gambar berisi teks, peta, cuplikan layar, atlas&#10;&#10;Konten yang dihasilkan AI mungkin salah."/>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3265" cy="2384490"/>
                    </a:xfrm>
                    <a:prstGeom prst="rect">
                      <a:avLst/>
                    </a:prstGeom>
                  </pic:spPr>
                </pic:pic>
              </a:graphicData>
            </a:graphic>
          </wp:inline>
        </w:drawing>
      </w:r>
    </w:p>
    <w:p w14:paraId="3F298E6D" w14:textId="77777777" w:rsidR="00A97B7D" w:rsidRPr="00A97B7D" w:rsidRDefault="00A97B7D" w:rsidP="00A97B7D">
      <w:pPr>
        <w:spacing w:after="0" w:line="240" w:lineRule="auto"/>
        <w:jc w:val="center"/>
        <w:rPr>
          <w:rFonts w:ascii="Times New Roman" w:hAnsi="Times New Roman" w:cs="Times New Roman"/>
          <w:color w:val="000000" w:themeColor="text1"/>
          <w:sz w:val="24"/>
          <w:szCs w:val="24"/>
        </w:rPr>
      </w:pPr>
      <w:bookmarkStart w:id="2" w:name="_Toc221361617"/>
      <w:r w:rsidRPr="00A97B7D">
        <w:rPr>
          <w:rFonts w:ascii="Times New Roman" w:hAnsi="Times New Roman" w:cs="Times New Roman"/>
          <w:color w:val="000000" w:themeColor="text1"/>
          <w:sz w:val="24"/>
          <w:szCs w:val="24"/>
        </w:rPr>
        <w:t xml:space="preserve">Gambar 1. </w:t>
      </w:r>
      <w:r w:rsidRPr="00A97B7D">
        <w:rPr>
          <w:rFonts w:ascii="Times New Roman" w:hAnsi="Times New Roman" w:cs="Times New Roman"/>
          <w:color w:val="000000" w:themeColor="text1"/>
          <w:sz w:val="24"/>
          <w:szCs w:val="24"/>
        </w:rPr>
        <w:fldChar w:fldCharType="begin"/>
      </w:r>
      <w:r w:rsidRPr="00A97B7D">
        <w:rPr>
          <w:rFonts w:ascii="Times New Roman" w:hAnsi="Times New Roman" w:cs="Times New Roman"/>
          <w:color w:val="000000" w:themeColor="text1"/>
          <w:sz w:val="24"/>
          <w:szCs w:val="24"/>
        </w:rPr>
        <w:instrText xml:space="preserve"> SEQ Gambar_1. \* ARABIC </w:instrText>
      </w:r>
      <w:r w:rsidRPr="00A97B7D">
        <w:rPr>
          <w:rFonts w:ascii="Times New Roman" w:hAnsi="Times New Roman" w:cs="Times New Roman"/>
          <w:color w:val="000000" w:themeColor="text1"/>
          <w:sz w:val="24"/>
          <w:szCs w:val="24"/>
        </w:rPr>
        <w:fldChar w:fldCharType="separate"/>
      </w:r>
      <w:r w:rsidRPr="00A97B7D">
        <w:rPr>
          <w:rFonts w:ascii="Times New Roman" w:hAnsi="Times New Roman" w:cs="Times New Roman"/>
          <w:noProof/>
          <w:color w:val="000000" w:themeColor="text1"/>
          <w:sz w:val="24"/>
          <w:szCs w:val="24"/>
        </w:rPr>
        <w:t>1</w:t>
      </w:r>
      <w:r w:rsidRPr="00A97B7D">
        <w:rPr>
          <w:rFonts w:ascii="Times New Roman" w:hAnsi="Times New Roman" w:cs="Times New Roman"/>
          <w:color w:val="000000" w:themeColor="text1"/>
          <w:sz w:val="24"/>
          <w:szCs w:val="24"/>
        </w:rPr>
        <w:fldChar w:fldCharType="end"/>
      </w:r>
      <w:r w:rsidRPr="00A97B7D">
        <w:rPr>
          <w:rFonts w:ascii="Times New Roman" w:hAnsi="Times New Roman" w:cs="Times New Roman"/>
          <w:color w:val="000000" w:themeColor="text1"/>
          <w:sz w:val="24"/>
          <w:szCs w:val="24"/>
        </w:rPr>
        <w:t xml:space="preserve"> Peta Transmisi Sumatera</w:t>
      </w:r>
      <w:bookmarkEnd w:id="2"/>
    </w:p>
    <w:p w14:paraId="3849C463" w14:textId="77777777" w:rsidR="00A97B7D" w:rsidRPr="00A97B7D" w:rsidRDefault="00A97B7D" w:rsidP="00A97B7D">
      <w:pPr>
        <w:jc w:val="center"/>
        <w:rPr>
          <w:rFonts w:ascii="Times New Roman" w:hAnsi="Times New Roman" w:cs="Times New Roman"/>
          <w:color w:val="000000" w:themeColor="text1"/>
          <w:sz w:val="24"/>
          <w:szCs w:val="24"/>
        </w:rPr>
      </w:pPr>
      <w:r w:rsidRPr="00A97B7D">
        <w:rPr>
          <w:rFonts w:ascii="Times New Roman" w:hAnsi="Times New Roman" w:cs="Times New Roman"/>
          <w:color w:val="000000" w:themeColor="text1"/>
          <w:sz w:val="24"/>
          <w:szCs w:val="24"/>
        </w:rPr>
        <w:fldChar w:fldCharType="begin" w:fldLock="1"/>
      </w:r>
      <w:r w:rsidRPr="00A97B7D">
        <w:rPr>
          <w:rFonts w:ascii="Times New Roman" w:hAnsi="Times New Roman" w:cs="Times New Roman"/>
          <w:color w:val="000000" w:themeColor="text1"/>
          <w:sz w:val="24"/>
          <w:szCs w:val="24"/>
        </w:rPr>
        <w:instrText>ADDIN CSL_CITATION {"citationItems":[{"id":"ITEM-1","itemData":{"id":"ITEM-1","issued":{"date-parts":[["0"]]},"title":"T.Pura","type":"article-journal"},"uris":["http://www.mendeley.com/documents/?uuid=bb63bae3-facb-4986-91b7-8120c2888ca2"]}],"mendeley":{"formattedCitation":"(&lt;i&gt;T.Pura&lt;/i&gt;, n.d.)","plainTextFormattedCitation":"(T.Pura, n.d.)","previouslyFormattedCitation":"(&lt;i&gt;T.Pura&lt;/i&gt;, n.d.)"},"properties":{"noteIndex":0},"schema":"https://github.com/citation-style-language/schema/raw/master/csl-citation.json"}</w:instrText>
      </w:r>
      <w:r w:rsidRPr="00A97B7D">
        <w:rPr>
          <w:rFonts w:ascii="Times New Roman" w:hAnsi="Times New Roman" w:cs="Times New Roman"/>
          <w:color w:val="000000" w:themeColor="text1"/>
          <w:sz w:val="24"/>
          <w:szCs w:val="24"/>
        </w:rPr>
        <w:fldChar w:fldCharType="separate"/>
      </w:r>
      <w:r w:rsidRPr="00A97B7D">
        <w:rPr>
          <w:rFonts w:ascii="Times New Roman" w:hAnsi="Times New Roman" w:cs="Times New Roman"/>
          <w:noProof/>
          <w:color w:val="000000" w:themeColor="text1"/>
          <w:sz w:val="24"/>
          <w:szCs w:val="24"/>
        </w:rPr>
        <w:t>(T.Pura, n.d.)</w:t>
      </w:r>
      <w:r w:rsidRPr="00A97B7D">
        <w:rPr>
          <w:rFonts w:ascii="Times New Roman" w:hAnsi="Times New Roman" w:cs="Times New Roman"/>
          <w:color w:val="000000" w:themeColor="text1"/>
          <w:sz w:val="24"/>
          <w:szCs w:val="24"/>
        </w:rPr>
        <w:fldChar w:fldCharType="end"/>
      </w:r>
    </w:p>
    <w:p w14:paraId="00FFED2D" w14:textId="77777777" w:rsidR="00A97B7D" w:rsidRPr="00A97B7D" w:rsidRDefault="00A97B7D" w:rsidP="00A97B7D">
      <w:pPr>
        <w:spacing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ab/>
        <w:t xml:space="preserve">Berdasarkan data beban Sistem Sumatera yang di peroleh dari UIP3B Sumatera melalui </w:t>
      </w:r>
      <w:r w:rsidRPr="00A97B7D">
        <w:rPr>
          <w:rFonts w:ascii="Times New Roman" w:hAnsi="Times New Roman" w:cs="Times New Roman"/>
          <w:i/>
          <w:iCs/>
          <w:sz w:val="24"/>
          <w:szCs w:val="24"/>
        </w:rPr>
        <w:t>Draft</w:t>
      </w:r>
      <w:r w:rsidRPr="00A97B7D">
        <w:rPr>
          <w:rFonts w:ascii="Times New Roman" w:hAnsi="Times New Roman" w:cs="Times New Roman"/>
          <w:sz w:val="24"/>
          <w:szCs w:val="24"/>
        </w:rPr>
        <w:t xml:space="preserve"> Kajian Kelayakan Proyek Pembangunan GITET 275 kV Lampung-1, </w:t>
      </w:r>
      <w:r w:rsidRPr="00A97B7D">
        <w:rPr>
          <w:rFonts w:ascii="Times New Roman" w:hAnsi="Times New Roman" w:cs="Times New Roman"/>
          <w:sz w:val="24"/>
          <w:szCs w:val="24"/>
        </w:rPr>
        <w:lastRenderedPageBreak/>
        <w:t xml:space="preserve">SUTET 275 kV Gumawang-Lampung serta </w:t>
      </w:r>
      <w:r w:rsidRPr="00A97B7D">
        <w:rPr>
          <w:rFonts w:ascii="Times New Roman" w:hAnsi="Times New Roman" w:cs="Times New Roman"/>
          <w:i/>
          <w:iCs/>
          <w:sz w:val="24"/>
          <w:szCs w:val="24"/>
        </w:rPr>
        <w:t>Rekonfigurasi</w:t>
      </w:r>
      <w:r w:rsidRPr="00A97B7D">
        <w:rPr>
          <w:rFonts w:ascii="Times New Roman" w:hAnsi="Times New Roman" w:cs="Times New Roman"/>
          <w:sz w:val="24"/>
          <w:szCs w:val="24"/>
        </w:rPr>
        <w:t xml:space="preserve"> SUTT </w:t>
      </w:r>
      <w:r w:rsidRPr="00A97B7D">
        <w:rPr>
          <w:rFonts w:ascii="Times New Roman" w:hAnsi="Times New Roman" w:cs="Times New Roman"/>
          <w:i/>
          <w:iCs/>
          <w:sz w:val="24"/>
          <w:szCs w:val="24"/>
        </w:rPr>
        <w:t>eksisting</w:t>
      </w:r>
      <w:r w:rsidRPr="00A97B7D">
        <w:rPr>
          <w:rFonts w:ascii="Times New Roman" w:hAnsi="Times New Roman" w:cs="Times New Roman"/>
          <w:sz w:val="24"/>
          <w:szCs w:val="24"/>
        </w:rPr>
        <w:t xml:space="preserve"> terkait, per Desember 2024 beban puncak Sub sistem Lampung mencapai angka 1.050 MW dengan kapasitas Daya Mampu Pembangkitan hanya mencapai angka 624 MW, sedangkan data beban puncak tertinggi yang tercatat pada RUPTL 2025-2034 per Oktober 2024 sebesar 1.318 MW dengan Daya Mampu </w:t>
      </w:r>
      <w:r w:rsidRPr="00A97B7D">
        <w:rPr>
          <w:rFonts w:ascii="Times New Roman" w:hAnsi="Times New Roman" w:cs="Times New Roman"/>
          <w:i/>
          <w:iCs/>
          <w:sz w:val="24"/>
          <w:szCs w:val="24"/>
        </w:rPr>
        <w:t>Netto</w:t>
      </w:r>
      <w:r w:rsidRPr="00A97B7D">
        <w:rPr>
          <w:rFonts w:ascii="Times New Roman" w:hAnsi="Times New Roman" w:cs="Times New Roman"/>
          <w:sz w:val="24"/>
          <w:szCs w:val="24"/>
        </w:rPr>
        <w:t xml:space="preserve"> pembangkitan sebesar 762,3 MW. Data tersebut menunjukkan bahwa Sub Sistem Lampung mengalami kondisi defisit daya. Sedangkan pada Sub Sistem Sumatera Selatan di tanggal dan tahun yang sama, beban puncak sistem hanya mencapai angka 1.173 MW dengan kapasitas Daya Mampu Pembangkitan sebesar 2.159 MW. Angka ini menunjukkan bahwa Sub Sistem Sumatera Selatan mengalami surplus daya, sesuai dengan informasi yang tertera pada RUPTL 2021-2030 bahwa sumber daya energi seperti batu bara, panas bumi dan gas cenderung lebih banyak tersedia di wilayah ini sehingga banyak di bangun PLTU Batubara dan PLTP. Surplus daya pada Sub Sistem Sumatera Selatan ini akhirnya di transfer ke Sub sistem yang mengalami defisit daya di antaranya adalah Lampung, Jambi dan Bangka seperti pada informasi yang tercantum pada Gambar 2.1</w:t>
      </w:r>
    </w:p>
    <w:p w14:paraId="753A7757" w14:textId="77777777" w:rsidR="00A97B7D" w:rsidRPr="00A97B7D" w:rsidRDefault="00A97B7D" w:rsidP="00A97B7D">
      <w:pPr>
        <w:keepNext/>
        <w:spacing w:after="0" w:line="360" w:lineRule="auto"/>
        <w:ind w:right="140"/>
        <w:jc w:val="center"/>
      </w:pPr>
      <w:r w:rsidRPr="00A97B7D">
        <w:rPr>
          <w:rFonts w:ascii="Times New Roman" w:hAnsi="Times New Roman" w:cs="Times New Roman"/>
          <w:noProof/>
          <w:sz w:val="24"/>
          <w:szCs w:val="24"/>
        </w:rPr>
        <w:drawing>
          <wp:inline distT="0" distB="0" distL="0" distR="0" wp14:anchorId="32340DD5" wp14:editId="12036006">
            <wp:extent cx="3584959" cy="1776447"/>
            <wp:effectExtent l="0" t="0" r="0" b="0"/>
            <wp:docPr id="1670194506" name="Gambar 62" descr="Sebuah gambar berisi teks, peta, diagram, cuplikan layar&#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4506" name="Gambar 62" descr="Sebuah gambar berisi teks, peta, diagram, cuplikan layar&#10;&#10;Konten yang dihasilkan AI mungkin salah."/>
                    <pic:cNvPicPr/>
                  </pic:nvPicPr>
                  <pic:blipFill>
                    <a:blip r:embed="rId8">
                      <a:extLst>
                        <a:ext uri="{28A0092B-C50C-407E-A947-70E740481C1C}">
                          <a14:useLocalDpi xmlns:a14="http://schemas.microsoft.com/office/drawing/2010/main" val="0"/>
                        </a:ext>
                      </a:extLst>
                    </a:blip>
                    <a:stretch>
                      <a:fillRect/>
                    </a:stretch>
                  </pic:blipFill>
                  <pic:spPr>
                    <a:xfrm>
                      <a:off x="0" y="0"/>
                      <a:ext cx="3633694" cy="1800597"/>
                    </a:xfrm>
                    <a:prstGeom prst="rect">
                      <a:avLst/>
                    </a:prstGeom>
                  </pic:spPr>
                </pic:pic>
              </a:graphicData>
            </a:graphic>
          </wp:inline>
        </w:drawing>
      </w:r>
    </w:p>
    <w:p w14:paraId="5F0133F3" w14:textId="77777777" w:rsidR="00A97B7D" w:rsidRPr="00A97B7D" w:rsidRDefault="00A97B7D" w:rsidP="00A97B7D">
      <w:pPr>
        <w:spacing w:after="0" w:line="240" w:lineRule="auto"/>
        <w:jc w:val="center"/>
        <w:rPr>
          <w:rFonts w:ascii="Times New Roman" w:hAnsi="Times New Roman" w:cs="Times New Roman"/>
          <w:color w:val="000000" w:themeColor="text1"/>
          <w:sz w:val="24"/>
          <w:szCs w:val="24"/>
        </w:rPr>
      </w:pPr>
      <w:bookmarkStart w:id="3" w:name="_Toc221361618"/>
      <w:r w:rsidRPr="00A97B7D">
        <w:rPr>
          <w:rFonts w:ascii="Times New Roman" w:hAnsi="Times New Roman" w:cs="Times New Roman"/>
          <w:color w:val="000000" w:themeColor="text1"/>
          <w:sz w:val="24"/>
          <w:szCs w:val="24"/>
        </w:rPr>
        <w:t xml:space="preserve">Gambar 1. </w:t>
      </w:r>
      <w:r w:rsidRPr="00A97B7D">
        <w:rPr>
          <w:rFonts w:ascii="Times New Roman" w:hAnsi="Times New Roman" w:cs="Times New Roman"/>
          <w:color w:val="000000" w:themeColor="text1"/>
          <w:sz w:val="24"/>
          <w:szCs w:val="24"/>
        </w:rPr>
        <w:fldChar w:fldCharType="begin"/>
      </w:r>
      <w:r w:rsidRPr="00A97B7D">
        <w:rPr>
          <w:rFonts w:ascii="Times New Roman" w:hAnsi="Times New Roman" w:cs="Times New Roman"/>
          <w:color w:val="000000" w:themeColor="text1"/>
          <w:sz w:val="24"/>
          <w:szCs w:val="24"/>
        </w:rPr>
        <w:instrText xml:space="preserve"> SEQ Gambar_1. \* ARABIC </w:instrText>
      </w:r>
      <w:r w:rsidRPr="00A97B7D">
        <w:rPr>
          <w:rFonts w:ascii="Times New Roman" w:hAnsi="Times New Roman" w:cs="Times New Roman"/>
          <w:color w:val="000000" w:themeColor="text1"/>
          <w:sz w:val="24"/>
          <w:szCs w:val="24"/>
        </w:rPr>
        <w:fldChar w:fldCharType="separate"/>
      </w:r>
      <w:r w:rsidRPr="00A97B7D">
        <w:rPr>
          <w:rFonts w:ascii="Times New Roman" w:hAnsi="Times New Roman" w:cs="Times New Roman"/>
          <w:noProof/>
          <w:color w:val="000000" w:themeColor="text1"/>
          <w:sz w:val="24"/>
          <w:szCs w:val="24"/>
        </w:rPr>
        <w:t>2</w:t>
      </w:r>
      <w:r w:rsidRPr="00A97B7D">
        <w:rPr>
          <w:rFonts w:ascii="Times New Roman" w:hAnsi="Times New Roman" w:cs="Times New Roman"/>
          <w:color w:val="000000" w:themeColor="text1"/>
          <w:sz w:val="24"/>
          <w:szCs w:val="24"/>
        </w:rPr>
        <w:fldChar w:fldCharType="end"/>
      </w:r>
      <w:r w:rsidRPr="00A97B7D">
        <w:rPr>
          <w:rFonts w:ascii="Times New Roman" w:hAnsi="Times New Roman" w:cs="Times New Roman"/>
          <w:color w:val="000000" w:themeColor="text1"/>
          <w:sz w:val="24"/>
          <w:szCs w:val="24"/>
        </w:rPr>
        <w:t xml:space="preserve"> Peta Aliran Daya Sumatera Bagian Selatan</w:t>
      </w:r>
      <w:bookmarkEnd w:id="3"/>
    </w:p>
    <w:p w14:paraId="4C32D382" w14:textId="77777777" w:rsidR="00A97B7D" w:rsidRPr="00A97B7D" w:rsidRDefault="00A97B7D" w:rsidP="00A97B7D">
      <w:pPr>
        <w:jc w:val="center"/>
        <w:rPr>
          <w:rFonts w:ascii="Times New Roman" w:hAnsi="Times New Roman" w:cs="Times New Roman"/>
          <w:sz w:val="24"/>
          <w:szCs w:val="24"/>
        </w:rPr>
      </w:pPr>
      <w:r w:rsidRPr="00A97B7D">
        <w:rPr>
          <w:rFonts w:ascii="Times New Roman" w:hAnsi="Times New Roman" w:cs="Times New Roman"/>
          <w:sz w:val="24"/>
          <w:szCs w:val="24"/>
        </w:rPr>
        <w:fldChar w:fldCharType="begin" w:fldLock="1"/>
      </w:r>
      <w:r w:rsidRPr="00A97B7D">
        <w:rPr>
          <w:rFonts w:ascii="Times New Roman" w:hAnsi="Times New Roman" w:cs="Times New Roman"/>
          <w:sz w:val="24"/>
          <w:szCs w:val="24"/>
        </w:rPr>
        <w:instrText>ADDIN CSL_CITATION {"citationItems":[{"id":"ITEM-1","itemData":{"author":[{"dropping-particle":"","family":"Incomer","given":"Pembangunan","non-dropping-particle":"","parse-names":false,"suffix":""}],"id":"ITEM-1","issued":{"date-parts":[["2025"]]},"title":"KAJIAN KELAYAKAN PROYEK LAMPUNG-1 BESERTA","type":"article-journal"},"uris":["http://www.mendeley.com/documents/?uuid=a4cb1fc2-3053-4a15-a899-d64549269716"]}],"mendeley":{"formattedCitation":"(Incomer, 2025)","plainTextFormattedCitation":"(Incomer, 2025)","previouslyFormattedCitation":"(Incomer, 2025)"},"properties":{"noteIndex":0},"schema":"https://github.com/citation-style-language/schema/raw/master/csl-citation.json"}</w:instrText>
      </w:r>
      <w:r w:rsidRPr="00A97B7D">
        <w:rPr>
          <w:rFonts w:ascii="Times New Roman" w:hAnsi="Times New Roman" w:cs="Times New Roman"/>
          <w:sz w:val="24"/>
          <w:szCs w:val="24"/>
        </w:rPr>
        <w:fldChar w:fldCharType="separate"/>
      </w:r>
      <w:r w:rsidRPr="00A97B7D">
        <w:rPr>
          <w:rFonts w:ascii="Times New Roman" w:hAnsi="Times New Roman" w:cs="Times New Roman"/>
          <w:noProof/>
          <w:sz w:val="24"/>
          <w:szCs w:val="24"/>
        </w:rPr>
        <w:t>(Incomer, 2025)</w:t>
      </w:r>
      <w:r w:rsidRPr="00A97B7D">
        <w:rPr>
          <w:rFonts w:ascii="Times New Roman" w:hAnsi="Times New Roman" w:cs="Times New Roman"/>
          <w:sz w:val="24"/>
          <w:szCs w:val="24"/>
        </w:rPr>
        <w:fldChar w:fldCharType="end"/>
      </w:r>
    </w:p>
    <w:p w14:paraId="54E90116"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 xml:space="preserve"> Menurut informasi yang tercantum pada RUPTL Tahun 2021-2030, bahwa pasokan daya Sub sistem Lampung sangat bergantung pada kinerja PLTU Tarahan dan PLTU Sebalang, dan saat ini telah terdapat dua jalur transfer daya </w:t>
      </w:r>
      <w:r w:rsidRPr="00A97B7D">
        <w:rPr>
          <w:rFonts w:ascii="Times New Roman" w:hAnsi="Times New Roman" w:cs="Times New Roman"/>
          <w:i/>
          <w:iCs/>
          <w:sz w:val="24"/>
          <w:szCs w:val="24"/>
        </w:rPr>
        <w:t>eksisting</w:t>
      </w:r>
      <w:r w:rsidRPr="00A97B7D">
        <w:rPr>
          <w:rFonts w:ascii="Times New Roman" w:hAnsi="Times New Roman" w:cs="Times New Roman"/>
          <w:sz w:val="24"/>
          <w:szCs w:val="24"/>
        </w:rPr>
        <w:t xml:space="preserve"> dari Sumatera Selatan menggunakan transmisi 150 kV guna mencukupi kebutuhan beban di Sub Sistem Lampung. Namun kedua jalur transfer daya </w:t>
      </w:r>
      <w:r w:rsidRPr="00A97B7D">
        <w:rPr>
          <w:rFonts w:ascii="Times New Roman" w:hAnsi="Times New Roman" w:cs="Times New Roman"/>
          <w:i/>
          <w:iCs/>
          <w:sz w:val="24"/>
          <w:szCs w:val="24"/>
        </w:rPr>
        <w:t>eksisting</w:t>
      </w:r>
      <w:r w:rsidRPr="00A97B7D">
        <w:rPr>
          <w:rFonts w:ascii="Times New Roman" w:hAnsi="Times New Roman" w:cs="Times New Roman"/>
          <w:sz w:val="24"/>
          <w:szCs w:val="24"/>
        </w:rPr>
        <w:t xml:space="preserve"> tersebut hampir mencapai batas kapasitas hantar daya untuk tegangan 150 kV. Hal ini di pengaruhi juga oleh naiknya tingkat beban di Sub Sistem Lampung yang mana per tanggal 1 Juli 2025 </w:t>
      </w:r>
      <w:r w:rsidRPr="00A97B7D">
        <w:rPr>
          <w:rFonts w:ascii="Times New Roman" w:hAnsi="Times New Roman" w:cs="Times New Roman"/>
          <w:sz w:val="24"/>
          <w:szCs w:val="24"/>
        </w:rPr>
        <w:lastRenderedPageBreak/>
        <w:t xml:space="preserve">total akumulasi beban puncak di Sub sistem Lampung menurut data beban GI dari UPT Tanjung Karang mencapai angka 1.189 MW. Apabila sewaktu - waktu salah satu pembangkit besar pada Sub sistem Lampung perlu melakukan </w:t>
      </w:r>
      <w:r w:rsidRPr="00A97B7D">
        <w:rPr>
          <w:rFonts w:ascii="Times New Roman" w:hAnsi="Times New Roman" w:cs="Times New Roman"/>
          <w:i/>
          <w:iCs/>
          <w:sz w:val="24"/>
          <w:szCs w:val="24"/>
        </w:rPr>
        <w:t>overhoul</w:t>
      </w:r>
      <w:r w:rsidRPr="00A97B7D">
        <w:rPr>
          <w:rFonts w:ascii="Times New Roman" w:hAnsi="Times New Roman" w:cs="Times New Roman"/>
          <w:sz w:val="24"/>
          <w:szCs w:val="24"/>
        </w:rPr>
        <w:t xml:space="preserve"> yang mengharuskan generator terlepas dari sistem, dapat di perkirakan Sub sistem </w:t>
      </w:r>
      <w:r w:rsidRPr="00A97B7D">
        <w:rPr>
          <w:rFonts w:ascii="Times New Roman" w:hAnsi="Times New Roman" w:cs="Times New Roman"/>
          <w:sz w:val="24"/>
          <w:szCs w:val="24"/>
        </w:rPr>
        <w:br/>
        <w:t xml:space="preserve">Lampung </w:t>
      </w:r>
      <w:r w:rsidRPr="00A97B7D">
        <w:rPr>
          <w:rFonts w:ascii="Times New Roman" w:hAnsi="Times New Roman" w:cs="Times New Roman"/>
          <w:i/>
          <w:iCs/>
          <w:sz w:val="24"/>
          <w:szCs w:val="24"/>
        </w:rPr>
        <w:t>collapse,</w:t>
      </w:r>
      <w:r w:rsidRPr="00A97B7D">
        <w:rPr>
          <w:rFonts w:ascii="Times New Roman" w:hAnsi="Times New Roman" w:cs="Times New Roman"/>
          <w:sz w:val="24"/>
          <w:szCs w:val="24"/>
        </w:rPr>
        <w:t xml:space="preserve"> sebab tidak memiliki </w:t>
      </w:r>
      <w:r w:rsidRPr="00A97B7D">
        <w:rPr>
          <w:rFonts w:ascii="Times New Roman" w:hAnsi="Times New Roman" w:cs="Times New Roman"/>
          <w:i/>
          <w:iCs/>
          <w:sz w:val="24"/>
          <w:szCs w:val="24"/>
        </w:rPr>
        <w:t>back up</w:t>
      </w:r>
      <w:r w:rsidRPr="00A97B7D">
        <w:rPr>
          <w:rFonts w:ascii="Times New Roman" w:hAnsi="Times New Roman" w:cs="Times New Roman"/>
          <w:sz w:val="24"/>
          <w:szCs w:val="24"/>
        </w:rPr>
        <w:t xml:space="preserve"> pasokan daya yang dapat menyuplai daya listrik. Salah satu strategi yang di realisasikan oleh PT. PLN (Persero) untuk mengatasi permasalahan defisit daya tersebut adalah dengan pembangunan infrastruktur transmisi tegangan ekstra tinggi yaitu SUTET (Saluran Udara Tegangan Ekstra Tinggi) 275 kV dan GITET (Gardu Induk Tegangan Ekstra Tinggi) 275 kV pada Sub sistem Lampung yang belum terinterkoneksi dengan Sistem </w:t>
      </w:r>
      <w:r w:rsidRPr="00A97B7D">
        <w:rPr>
          <w:rFonts w:ascii="Times New Roman" w:hAnsi="Times New Roman" w:cs="Times New Roman"/>
          <w:i/>
          <w:iCs/>
          <w:sz w:val="24"/>
          <w:szCs w:val="24"/>
        </w:rPr>
        <w:t>Backbone</w:t>
      </w:r>
      <w:r w:rsidRPr="00A97B7D">
        <w:rPr>
          <w:rFonts w:ascii="Times New Roman" w:hAnsi="Times New Roman" w:cs="Times New Roman"/>
          <w:sz w:val="24"/>
          <w:szCs w:val="24"/>
        </w:rPr>
        <w:t xml:space="preserve"> 275 kV Sumatera. Jalur tersebut terhubung dengan GITET Gumawang yang berlokasi di Sumatera Selatan.</w:t>
      </w:r>
    </w:p>
    <w:p w14:paraId="09DB8130"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 xml:space="preserve">Pembangunan GITET 275 kV ini akan berdampak pada Sub sistem 150 kV Lampung sebab dengan adanya interkoneksi ini Sub sistem Lampung akan menerima aliran daya dari pembangkitan yang ada di Sumatera Selatan, sehingga perlu di lakukan evaluasi dan analisis mengenai kondisi aliran daya Sub sistem Lampung sebelum dan sesudah Interkoneksi GITET 275 kV Lampung-1 mengenai </w:t>
      </w:r>
      <w:r w:rsidRPr="00A97B7D">
        <w:rPr>
          <w:rFonts w:ascii="Times New Roman" w:hAnsi="Times New Roman" w:cs="Times New Roman"/>
          <w:i/>
          <w:iCs/>
          <w:sz w:val="24"/>
          <w:szCs w:val="24"/>
        </w:rPr>
        <w:t>losses</w:t>
      </w:r>
      <w:r w:rsidRPr="00A97B7D">
        <w:rPr>
          <w:rFonts w:ascii="Times New Roman" w:hAnsi="Times New Roman" w:cs="Times New Roman"/>
          <w:sz w:val="24"/>
          <w:szCs w:val="24"/>
        </w:rPr>
        <w:t xml:space="preserve"> dan </w:t>
      </w:r>
      <w:r w:rsidRPr="00A97B7D">
        <w:rPr>
          <w:rFonts w:ascii="Times New Roman" w:hAnsi="Times New Roman" w:cs="Times New Roman"/>
          <w:i/>
          <w:iCs/>
          <w:sz w:val="24"/>
          <w:szCs w:val="24"/>
        </w:rPr>
        <w:t xml:space="preserve">profil </w:t>
      </w:r>
      <w:r w:rsidRPr="00A97B7D">
        <w:rPr>
          <w:rFonts w:ascii="Times New Roman" w:hAnsi="Times New Roman" w:cs="Times New Roman"/>
          <w:sz w:val="24"/>
          <w:szCs w:val="24"/>
        </w:rPr>
        <w:t xml:space="preserve">tegangan GI sistem transmisi Lampung. Pada penelitian ini di lakukan analisis aliran daya dalam III Kondisi. Kondisi I adalah analisis aliran daya Sub sistem Lampung </w:t>
      </w:r>
      <w:r w:rsidRPr="00A97B7D">
        <w:rPr>
          <w:rFonts w:ascii="Times New Roman" w:hAnsi="Times New Roman" w:cs="Times New Roman"/>
          <w:i/>
          <w:iCs/>
          <w:sz w:val="24"/>
          <w:szCs w:val="24"/>
        </w:rPr>
        <w:t>eksisting</w:t>
      </w:r>
      <w:r w:rsidRPr="00A97B7D">
        <w:rPr>
          <w:rFonts w:ascii="Times New Roman" w:hAnsi="Times New Roman" w:cs="Times New Roman"/>
          <w:sz w:val="24"/>
          <w:szCs w:val="24"/>
        </w:rPr>
        <w:t xml:space="preserve"> ketika belum terdapat interkoneksi dengan GITET 275kV pada sistem Lampung dengan beban per Juli 2025. Kondisi II adalah analisis aliran daya Sub sistem Lampung ketika belum terdapat interkoneksi dengan GITET 275 kV tetapi telah di tambahkan akumulasi pertumbuhan beban hingga tahun 2030. Kondisi ke III adalah analisis aliran daya Sub sistem Lampung ketika telah terdapat interkoneksi dengan GITET 275kV dengan akumulasi pertumbuhan beban hingga tahun 2030. Selain analisis aliran daya dengan ketiga kondisi tersebut, penelitian ini juga menganalisis kondisi kestabilan Sub sistem Lampung sebelum dan sesudah adanya interkoneksi GITET 275 kV Lampung-1 dengan skenario pelepasan PLTU Tarahan menggunakan analisis kestabilan transien dengan bantuan </w:t>
      </w:r>
      <w:r w:rsidRPr="00A97B7D">
        <w:rPr>
          <w:rFonts w:ascii="Times New Roman" w:hAnsi="Times New Roman" w:cs="Times New Roman"/>
          <w:i/>
          <w:iCs/>
          <w:sz w:val="24"/>
          <w:szCs w:val="24"/>
        </w:rPr>
        <w:t>Software</w:t>
      </w:r>
      <w:r w:rsidRPr="00A97B7D">
        <w:rPr>
          <w:rFonts w:ascii="Times New Roman" w:hAnsi="Times New Roman" w:cs="Times New Roman"/>
          <w:sz w:val="24"/>
          <w:szCs w:val="24"/>
        </w:rPr>
        <w:t xml:space="preserve"> analisis </w:t>
      </w:r>
      <w:r w:rsidRPr="00A97B7D">
        <w:rPr>
          <w:rFonts w:ascii="Times New Roman" w:hAnsi="Times New Roman" w:cs="Times New Roman"/>
          <w:i/>
          <w:iCs/>
          <w:sz w:val="24"/>
          <w:szCs w:val="24"/>
        </w:rPr>
        <w:t>DigSILENT Power Factory</w:t>
      </w:r>
      <w:r w:rsidRPr="00A97B7D">
        <w:rPr>
          <w:rFonts w:ascii="Times New Roman" w:hAnsi="Times New Roman" w:cs="Times New Roman"/>
          <w:sz w:val="24"/>
          <w:szCs w:val="24"/>
        </w:rPr>
        <w:t xml:space="preserve"> 2024.</w:t>
      </w:r>
    </w:p>
    <w:p w14:paraId="44F7B9E5"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p>
    <w:p w14:paraId="6EA36D84" w14:textId="77777777" w:rsidR="00A97B7D" w:rsidRPr="00A97B7D" w:rsidRDefault="00A97B7D" w:rsidP="00A97B7D">
      <w:pPr>
        <w:keepNext/>
        <w:keepLines/>
        <w:numPr>
          <w:ilvl w:val="1"/>
          <w:numId w:val="1"/>
        </w:numPr>
        <w:spacing w:before="160" w:after="0" w:line="360" w:lineRule="auto"/>
        <w:ind w:right="140"/>
        <w:outlineLvl w:val="1"/>
        <w:rPr>
          <w:rFonts w:ascii="Times New Roman" w:eastAsiaTheme="majorEastAsia" w:hAnsi="Times New Roman" w:cs="Times New Roman"/>
          <w:b/>
          <w:color w:val="000000" w:themeColor="text1"/>
          <w:sz w:val="24"/>
          <w:szCs w:val="32"/>
        </w:rPr>
      </w:pPr>
      <w:bookmarkStart w:id="4" w:name="_Toc221706950"/>
      <w:r w:rsidRPr="00A97B7D">
        <w:rPr>
          <w:rFonts w:ascii="Times New Roman" w:eastAsiaTheme="majorEastAsia" w:hAnsi="Times New Roman" w:cs="Times New Roman"/>
          <w:b/>
          <w:color w:val="000000" w:themeColor="text1"/>
          <w:sz w:val="24"/>
          <w:szCs w:val="32"/>
        </w:rPr>
        <w:lastRenderedPageBreak/>
        <w:t>Rumusan Masalah</w:t>
      </w:r>
      <w:bookmarkEnd w:id="4"/>
    </w:p>
    <w:p w14:paraId="0EAD4D4E" w14:textId="77777777" w:rsidR="00A97B7D" w:rsidRPr="00A97B7D" w:rsidRDefault="00A97B7D" w:rsidP="00A97B7D">
      <w:pPr>
        <w:spacing w:after="0" w:line="360" w:lineRule="auto"/>
        <w:ind w:left="142" w:right="140" w:firstLine="284"/>
        <w:jc w:val="both"/>
        <w:rPr>
          <w:rFonts w:ascii="Times New Roman" w:hAnsi="Times New Roman" w:cs="Times New Roman"/>
          <w:sz w:val="24"/>
          <w:szCs w:val="24"/>
        </w:rPr>
      </w:pPr>
      <w:r w:rsidRPr="00A97B7D">
        <w:rPr>
          <w:rFonts w:ascii="Times New Roman" w:hAnsi="Times New Roman" w:cs="Times New Roman"/>
          <w:sz w:val="24"/>
          <w:szCs w:val="24"/>
        </w:rPr>
        <w:t>Berdasarkan latar belakang tersebut maka pada penelitian ini terdapat beberapa rumusan masalah, di antaranya adalah :</w:t>
      </w:r>
    </w:p>
    <w:p w14:paraId="297B4FA0" w14:textId="77777777" w:rsidR="00A97B7D" w:rsidRPr="00A97B7D" w:rsidRDefault="00A97B7D" w:rsidP="00A97B7D">
      <w:pPr>
        <w:numPr>
          <w:ilvl w:val="0"/>
          <w:numId w:val="2"/>
        </w:numPr>
        <w:spacing w:after="0" w:line="360" w:lineRule="auto"/>
        <w:ind w:right="140"/>
        <w:contextualSpacing/>
        <w:jc w:val="both"/>
        <w:rPr>
          <w:rFonts w:ascii="Times New Roman" w:hAnsi="Times New Roman" w:cs="Times New Roman"/>
          <w:sz w:val="24"/>
          <w:szCs w:val="24"/>
        </w:rPr>
      </w:pPr>
      <w:bookmarkStart w:id="5" w:name="_Hlk212106936"/>
      <w:r w:rsidRPr="00A97B7D">
        <w:rPr>
          <w:rFonts w:ascii="Times New Roman" w:hAnsi="Times New Roman" w:cs="Times New Roman"/>
          <w:sz w:val="24"/>
          <w:szCs w:val="24"/>
        </w:rPr>
        <w:t>Bagaimana permodelan interkoneksi sistem transmisi Sumatera Bagian Selatan tahun 2025?</w:t>
      </w:r>
    </w:p>
    <w:p w14:paraId="7AAA7FFE" w14:textId="77777777" w:rsidR="00A97B7D" w:rsidRPr="00A97B7D" w:rsidRDefault="00A97B7D" w:rsidP="00A97B7D">
      <w:pPr>
        <w:numPr>
          <w:ilvl w:val="0"/>
          <w:numId w:val="2"/>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 xml:space="preserve">Bagaimana evaluasi kondisi aliran daya dan </w:t>
      </w:r>
      <w:r w:rsidRPr="00A97B7D">
        <w:rPr>
          <w:rFonts w:ascii="Times New Roman" w:hAnsi="Times New Roman" w:cs="Times New Roman"/>
          <w:i/>
          <w:iCs/>
          <w:sz w:val="24"/>
          <w:szCs w:val="24"/>
        </w:rPr>
        <w:t>losses</w:t>
      </w:r>
      <w:r w:rsidRPr="00A97B7D">
        <w:rPr>
          <w:rFonts w:ascii="Times New Roman" w:hAnsi="Times New Roman" w:cs="Times New Roman"/>
          <w:sz w:val="24"/>
          <w:szCs w:val="24"/>
        </w:rPr>
        <w:t xml:space="preserve"> Sub sistem Lampung sebelum dan sesudah Interkoneksi  GITET 275 kV Lampung-1 dengan asumsi pertumbuhan beban hingga tahun 2030?</w:t>
      </w:r>
    </w:p>
    <w:p w14:paraId="79FD2F6D" w14:textId="77777777" w:rsidR="00A97B7D" w:rsidRPr="00A97B7D" w:rsidRDefault="00A97B7D" w:rsidP="00A97B7D">
      <w:pPr>
        <w:numPr>
          <w:ilvl w:val="0"/>
          <w:numId w:val="2"/>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Bagaimana kondisi kestabilan transien Sistem Sumbagsel setelah interkoneksi GITET 275 kV Lampung-1 dengan asumsi beban tahun 2030?</w:t>
      </w:r>
    </w:p>
    <w:p w14:paraId="0111680E" w14:textId="77777777" w:rsidR="00A97B7D" w:rsidRPr="00A97B7D" w:rsidRDefault="00A97B7D" w:rsidP="00A97B7D">
      <w:pPr>
        <w:keepNext/>
        <w:keepLines/>
        <w:numPr>
          <w:ilvl w:val="1"/>
          <w:numId w:val="1"/>
        </w:numPr>
        <w:spacing w:before="160" w:after="0" w:line="360" w:lineRule="auto"/>
        <w:ind w:right="140"/>
        <w:outlineLvl w:val="1"/>
        <w:rPr>
          <w:rFonts w:ascii="Times New Roman" w:eastAsiaTheme="majorEastAsia" w:hAnsi="Times New Roman" w:cs="Times New Roman"/>
          <w:b/>
          <w:color w:val="000000" w:themeColor="text1"/>
          <w:sz w:val="24"/>
          <w:szCs w:val="32"/>
        </w:rPr>
      </w:pPr>
      <w:bookmarkStart w:id="6" w:name="_Toc221706951"/>
      <w:bookmarkEnd w:id="5"/>
      <w:r w:rsidRPr="00A97B7D">
        <w:rPr>
          <w:rFonts w:ascii="Times New Roman" w:eastAsiaTheme="majorEastAsia" w:hAnsi="Times New Roman" w:cs="Times New Roman"/>
          <w:b/>
          <w:color w:val="000000" w:themeColor="text1"/>
          <w:sz w:val="24"/>
          <w:szCs w:val="32"/>
        </w:rPr>
        <w:t>Tujuan</w:t>
      </w:r>
      <w:bookmarkEnd w:id="6"/>
      <w:r w:rsidRPr="00A97B7D">
        <w:rPr>
          <w:rFonts w:ascii="Times New Roman" w:eastAsiaTheme="majorEastAsia" w:hAnsi="Times New Roman" w:cs="Times New Roman"/>
          <w:b/>
          <w:color w:val="000000" w:themeColor="text1"/>
          <w:sz w:val="24"/>
          <w:szCs w:val="32"/>
        </w:rPr>
        <w:t xml:space="preserve"> </w:t>
      </w:r>
    </w:p>
    <w:p w14:paraId="13D19384"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Mengacu pada rumusan masalah yang telah di tentukan tersebut maka penelitian ini memiliki tujuan yang menjadi penguat, yakni sebagai berikut :</w:t>
      </w:r>
    </w:p>
    <w:p w14:paraId="6A14EBCB" w14:textId="77777777" w:rsidR="00A97B7D" w:rsidRPr="00A97B7D" w:rsidRDefault="00A97B7D" w:rsidP="00A97B7D">
      <w:pPr>
        <w:numPr>
          <w:ilvl w:val="0"/>
          <w:numId w:val="3"/>
        </w:numPr>
        <w:spacing w:after="0" w:line="360" w:lineRule="auto"/>
        <w:ind w:right="140"/>
        <w:contextualSpacing/>
        <w:jc w:val="both"/>
        <w:rPr>
          <w:rFonts w:ascii="Times New Roman" w:hAnsi="Times New Roman" w:cs="Times New Roman"/>
          <w:sz w:val="24"/>
          <w:szCs w:val="24"/>
        </w:rPr>
      </w:pPr>
      <w:bookmarkStart w:id="7" w:name="_Hlk212106971"/>
      <w:r w:rsidRPr="00A97B7D">
        <w:rPr>
          <w:rFonts w:ascii="Times New Roman" w:hAnsi="Times New Roman" w:cs="Times New Roman"/>
          <w:sz w:val="24"/>
          <w:szCs w:val="24"/>
        </w:rPr>
        <w:t>Memodelkan interkoneksi transmisi Sumatera Bagian Selatan tahun 2025.</w:t>
      </w:r>
    </w:p>
    <w:p w14:paraId="3FA6C2F8" w14:textId="77777777" w:rsidR="00A97B7D" w:rsidRPr="00A97B7D" w:rsidRDefault="00A97B7D" w:rsidP="00A97B7D">
      <w:pPr>
        <w:numPr>
          <w:ilvl w:val="0"/>
          <w:numId w:val="3"/>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 xml:space="preserve">Mengidentifikasi pengaruh interkoneksi GITET 275 kV Lampung-1 terhadap kondisi aliran daya secara keseluruhan, meliputi </w:t>
      </w:r>
      <w:r w:rsidRPr="00A97B7D">
        <w:rPr>
          <w:rFonts w:ascii="Times New Roman" w:hAnsi="Times New Roman" w:cs="Times New Roman"/>
          <w:i/>
          <w:iCs/>
          <w:sz w:val="24"/>
          <w:szCs w:val="24"/>
        </w:rPr>
        <w:t>losses</w:t>
      </w:r>
      <w:r w:rsidRPr="00A97B7D">
        <w:rPr>
          <w:rFonts w:ascii="Times New Roman" w:hAnsi="Times New Roman" w:cs="Times New Roman"/>
          <w:sz w:val="24"/>
          <w:szCs w:val="24"/>
        </w:rPr>
        <w:t xml:space="preserve"> dan profil tegangan GI di Sub Sistem Lampung eksisting dan pada tahun 2030.</w:t>
      </w:r>
    </w:p>
    <w:p w14:paraId="7B927BC2" w14:textId="77777777" w:rsidR="00A97B7D" w:rsidRPr="00A97B7D" w:rsidRDefault="00A97B7D" w:rsidP="00A97B7D">
      <w:pPr>
        <w:numPr>
          <w:ilvl w:val="0"/>
          <w:numId w:val="3"/>
        </w:numPr>
        <w:spacing w:before="240"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Mengidentifikasi pengaruh integrasi GITET 275 kV Lampung-1 terhadap kestabilan transien Sistem Sumbagsel pada tahun 2030.</w:t>
      </w:r>
      <w:bookmarkEnd w:id="7"/>
    </w:p>
    <w:p w14:paraId="3DA2AF3F" w14:textId="77777777" w:rsidR="00A97B7D" w:rsidRPr="00A97B7D" w:rsidRDefault="00A97B7D" w:rsidP="00A97B7D">
      <w:pPr>
        <w:keepNext/>
        <w:keepLines/>
        <w:numPr>
          <w:ilvl w:val="1"/>
          <w:numId w:val="1"/>
        </w:numPr>
        <w:spacing w:before="240" w:after="0" w:line="360" w:lineRule="auto"/>
        <w:ind w:right="140"/>
        <w:jc w:val="both"/>
        <w:outlineLvl w:val="1"/>
        <w:rPr>
          <w:rFonts w:ascii="Times New Roman" w:eastAsiaTheme="majorEastAsia" w:hAnsi="Times New Roman" w:cs="Times New Roman"/>
          <w:b/>
          <w:color w:val="000000" w:themeColor="text1"/>
          <w:sz w:val="24"/>
          <w:szCs w:val="32"/>
        </w:rPr>
      </w:pPr>
      <w:bookmarkStart w:id="8" w:name="_Toc221706952"/>
      <w:r w:rsidRPr="00A97B7D">
        <w:rPr>
          <w:rFonts w:ascii="Times New Roman" w:eastAsiaTheme="majorEastAsia" w:hAnsi="Times New Roman" w:cs="Times New Roman"/>
          <w:b/>
          <w:color w:val="000000" w:themeColor="text1"/>
          <w:sz w:val="24"/>
          <w:szCs w:val="32"/>
        </w:rPr>
        <w:t>Manfaat</w:t>
      </w:r>
      <w:bookmarkEnd w:id="8"/>
    </w:p>
    <w:p w14:paraId="2529E1C6"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 xml:space="preserve">Dengan adanya penelitian ini maka di harapkan dapat memberikan </w:t>
      </w:r>
      <w:r w:rsidRPr="00A97B7D">
        <w:rPr>
          <w:rFonts w:ascii="Times New Roman" w:hAnsi="Times New Roman" w:cs="Times New Roman"/>
          <w:i/>
          <w:iCs/>
          <w:sz w:val="24"/>
          <w:szCs w:val="24"/>
        </w:rPr>
        <w:t>insight</w:t>
      </w:r>
      <w:r w:rsidRPr="00A97B7D">
        <w:rPr>
          <w:rFonts w:ascii="Times New Roman" w:hAnsi="Times New Roman" w:cs="Times New Roman"/>
          <w:sz w:val="24"/>
          <w:szCs w:val="24"/>
        </w:rPr>
        <w:t xml:space="preserve"> yang bermanfaat  di antaranya adalah :</w:t>
      </w:r>
    </w:p>
    <w:p w14:paraId="52C73342" w14:textId="77777777" w:rsidR="00A97B7D" w:rsidRPr="00A97B7D" w:rsidRDefault="00A97B7D" w:rsidP="00A97B7D">
      <w:pPr>
        <w:numPr>
          <w:ilvl w:val="0"/>
          <w:numId w:val="4"/>
        </w:numPr>
        <w:spacing w:after="0"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Memberikan gambaran mengenai kondisi Sub sistem Lampung dan Interkoneksi sistem Transmisi Sumatera Bagian Selatan pada tahun 2025 eksisting dan kondisi Sub sistem Lampung dengan pertumbuhan beban pada tahun 2030, sebelum maupun setelah adanya interkoneksi dengan Sistem Sumatera Bagian Selatan melalui interkoneksi GITET 275 kV Lampung-1.</w:t>
      </w:r>
    </w:p>
    <w:p w14:paraId="3F064C02" w14:textId="77777777" w:rsidR="00A97B7D" w:rsidRPr="00A97B7D" w:rsidRDefault="00A97B7D" w:rsidP="00A97B7D">
      <w:pPr>
        <w:numPr>
          <w:ilvl w:val="0"/>
          <w:numId w:val="4"/>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Memberikan pemahaman mengenai dampak interkoneksi GITET 275kV Lampung-1 terhadap aliran daya Sub sistem Lampung pada kondisi beban eksisting dan kondisi pertumbuhan beban pada tahun 2030.</w:t>
      </w:r>
    </w:p>
    <w:p w14:paraId="6F9ECB2E" w14:textId="77777777" w:rsidR="00A97B7D" w:rsidRPr="00A97B7D" w:rsidRDefault="00A97B7D" w:rsidP="00A97B7D">
      <w:pPr>
        <w:numPr>
          <w:ilvl w:val="0"/>
          <w:numId w:val="4"/>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lastRenderedPageBreak/>
        <w:t xml:space="preserve">Memberikan rekomendasi kepada PT. PLN (Persero) mengenai kestabilan </w:t>
      </w:r>
      <w:r w:rsidRPr="00A97B7D">
        <w:rPr>
          <w:rFonts w:ascii="Times New Roman" w:hAnsi="Times New Roman" w:cs="Times New Roman"/>
          <w:i/>
          <w:iCs/>
          <w:sz w:val="24"/>
          <w:szCs w:val="24"/>
        </w:rPr>
        <w:t>transient</w:t>
      </w:r>
      <w:r w:rsidRPr="00A97B7D">
        <w:rPr>
          <w:rFonts w:ascii="Times New Roman" w:hAnsi="Times New Roman" w:cs="Times New Roman"/>
          <w:sz w:val="24"/>
          <w:szCs w:val="24"/>
        </w:rPr>
        <w:t xml:space="preserve"> Sub sistem Lampung tahun 2030 dengan skenario pelepasan PLTU Tarahan yang ada di Sub sistem Lampung.</w:t>
      </w:r>
    </w:p>
    <w:p w14:paraId="39E5977A" w14:textId="77777777" w:rsidR="00A97B7D" w:rsidRPr="00A97B7D" w:rsidRDefault="00A97B7D" w:rsidP="00A97B7D">
      <w:pPr>
        <w:keepNext/>
        <w:keepLines/>
        <w:numPr>
          <w:ilvl w:val="1"/>
          <w:numId w:val="1"/>
        </w:numPr>
        <w:spacing w:before="160" w:after="0" w:line="360" w:lineRule="auto"/>
        <w:ind w:right="140"/>
        <w:outlineLvl w:val="1"/>
        <w:rPr>
          <w:rFonts w:ascii="Times New Roman" w:eastAsiaTheme="majorEastAsia" w:hAnsi="Times New Roman" w:cs="Times New Roman"/>
          <w:b/>
          <w:color w:val="000000" w:themeColor="text1"/>
          <w:sz w:val="24"/>
          <w:szCs w:val="32"/>
        </w:rPr>
      </w:pPr>
      <w:bookmarkStart w:id="9" w:name="_Toc221706953"/>
      <w:r w:rsidRPr="00A97B7D">
        <w:rPr>
          <w:rFonts w:ascii="Times New Roman" w:eastAsiaTheme="majorEastAsia" w:hAnsi="Times New Roman" w:cs="Times New Roman"/>
          <w:b/>
          <w:color w:val="000000" w:themeColor="text1"/>
          <w:sz w:val="24"/>
          <w:szCs w:val="32"/>
        </w:rPr>
        <w:t>Ruang Lingkup</w:t>
      </w:r>
      <w:bookmarkEnd w:id="9"/>
    </w:p>
    <w:p w14:paraId="37F0EF39"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Guna membatasi permasalahan yang di bahas pada penelitian ini agar tetap terfokus pada satu pembahasan, maka penulis membatasi ruang lingkup permasalahan penelitian ini menjadi :</w:t>
      </w:r>
    </w:p>
    <w:p w14:paraId="3116379F" w14:textId="77777777" w:rsidR="00A97B7D" w:rsidRPr="00A97B7D" w:rsidRDefault="00A97B7D" w:rsidP="00A97B7D">
      <w:pPr>
        <w:numPr>
          <w:ilvl w:val="0"/>
          <w:numId w:val="5"/>
        </w:numPr>
        <w:spacing w:after="0"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 xml:space="preserve">Penelitian ini berfokus pada transmisi 150 kV Sub sistem Lampung berdasarkan kondisi tahun 2025 dengan menggunakan perangkat lunak </w:t>
      </w:r>
      <w:r w:rsidRPr="00A97B7D">
        <w:rPr>
          <w:rFonts w:ascii="Times New Roman" w:hAnsi="Times New Roman" w:cs="Times New Roman"/>
          <w:i/>
          <w:iCs/>
          <w:sz w:val="24"/>
          <w:szCs w:val="24"/>
        </w:rPr>
        <w:t>DigSILENT Powerfactory 2024</w:t>
      </w:r>
      <w:r w:rsidRPr="00A97B7D">
        <w:rPr>
          <w:rFonts w:ascii="Times New Roman" w:hAnsi="Times New Roman" w:cs="Times New Roman"/>
          <w:sz w:val="24"/>
          <w:szCs w:val="24"/>
        </w:rPr>
        <w:t>.</w:t>
      </w:r>
    </w:p>
    <w:p w14:paraId="3C60A767" w14:textId="77777777" w:rsidR="00A97B7D" w:rsidRPr="00A97B7D" w:rsidRDefault="00A97B7D" w:rsidP="00A97B7D">
      <w:pPr>
        <w:numPr>
          <w:ilvl w:val="0"/>
          <w:numId w:val="5"/>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Topik yang di kaji yakni interkoneksi Sistem Sumatera Bagian Selatan dengan Sub sistem Lampung melalui interkoneksi GITET 275 kV dengan kondisi Sub sistem Lampung eksisting dan kondisi pertumbuhan beban hingga tahun 2030.</w:t>
      </w:r>
    </w:p>
    <w:p w14:paraId="6302EFAF" w14:textId="77777777" w:rsidR="00A97B7D" w:rsidRPr="00A97B7D" w:rsidRDefault="00A97B7D" w:rsidP="00A97B7D">
      <w:pPr>
        <w:numPr>
          <w:ilvl w:val="0"/>
          <w:numId w:val="5"/>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 xml:space="preserve">Parameter yang di amati meliputi </w:t>
      </w:r>
      <w:r w:rsidRPr="00A97B7D">
        <w:rPr>
          <w:rFonts w:ascii="Times New Roman" w:hAnsi="Times New Roman" w:cs="Times New Roman"/>
          <w:i/>
          <w:iCs/>
          <w:sz w:val="24"/>
          <w:szCs w:val="24"/>
        </w:rPr>
        <w:t>losses</w:t>
      </w:r>
      <w:r w:rsidRPr="00A97B7D">
        <w:rPr>
          <w:rFonts w:ascii="Times New Roman" w:hAnsi="Times New Roman" w:cs="Times New Roman"/>
          <w:sz w:val="24"/>
          <w:szCs w:val="24"/>
        </w:rPr>
        <w:t xml:space="preserve"> dan profil</w:t>
      </w:r>
      <w:r w:rsidRPr="00A97B7D">
        <w:rPr>
          <w:rFonts w:ascii="Times New Roman" w:hAnsi="Times New Roman" w:cs="Times New Roman"/>
          <w:i/>
          <w:iCs/>
          <w:sz w:val="24"/>
          <w:szCs w:val="24"/>
        </w:rPr>
        <w:t xml:space="preserve"> </w:t>
      </w:r>
      <w:r w:rsidRPr="00A97B7D">
        <w:rPr>
          <w:rFonts w:ascii="Times New Roman" w:hAnsi="Times New Roman" w:cs="Times New Roman"/>
          <w:sz w:val="24"/>
          <w:szCs w:val="24"/>
        </w:rPr>
        <w:t>tegangan  sistem transmisi Lampung serta kestabilan transien Sistem Sumbagsel dengan skenario pelepasan PLTU Tarahan.</w:t>
      </w:r>
    </w:p>
    <w:p w14:paraId="02B2018B" w14:textId="77777777" w:rsidR="00A97B7D" w:rsidRPr="00A97B7D" w:rsidRDefault="00A97B7D" w:rsidP="00A97B7D">
      <w:pPr>
        <w:numPr>
          <w:ilvl w:val="0"/>
          <w:numId w:val="5"/>
        </w:numPr>
        <w:spacing w:line="360" w:lineRule="auto"/>
        <w:ind w:right="140"/>
        <w:contextualSpacing/>
        <w:jc w:val="both"/>
        <w:rPr>
          <w:rFonts w:ascii="Times New Roman" w:hAnsi="Times New Roman" w:cs="Times New Roman"/>
          <w:sz w:val="24"/>
          <w:szCs w:val="24"/>
        </w:rPr>
      </w:pPr>
      <w:r w:rsidRPr="00A97B7D">
        <w:rPr>
          <w:rFonts w:ascii="Times New Roman" w:hAnsi="Times New Roman" w:cs="Times New Roman"/>
          <w:sz w:val="24"/>
          <w:szCs w:val="24"/>
        </w:rPr>
        <w:t xml:space="preserve">Penelitian ini hanya fokus pada analisis aliran daya sistem dan Kestabilan Transien Sistem Sumbagsel tanpa membahas aspek proteksi dan koordinasi </w:t>
      </w:r>
      <w:r w:rsidRPr="00A97B7D">
        <w:rPr>
          <w:rFonts w:ascii="Times New Roman" w:hAnsi="Times New Roman" w:cs="Times New Roman"/>
          <w:i/>
          <w:iCs/>
          <w:sz w:val="24"/>
          <w:szCs w:val="24"/>
        </w:rPr>
        <w:t>relay</w:t>
      </w:r>
      <w:r w:rsidRPr="00A97B7D">
        <w:rPr>
          <w:rFonts w:ascii="Times New Roman" w:hAnsi="Times New Roman" w:cs="Times New Roman"/>
          <w:sz w:val="24"/>
          <w:szCs w:val="24"/>
        </w:rPr>
        <w:t>.</w:t>
      </w:r>
    </w:p>
    <w:p w14:paraId="01F1D35E" w14:textId="77777777" w:rsidR="00A97B7D" w:rsidRPr="00A97B7D" w:rsidRDefault="00A97B7D" w:rsidP="00A97B7D">
      <w:pPr>
        <w:keepNext/>
        <w:keepLines/>
        <w:numPr>
          <w:ilvl w:val="1"/>
          <w:numId w:val="1"/>
        </w:numPr>
        <w:spacing w:before="160" w:after="0" w:line="360" w:lineRule="auto"/>
        <w:ind w:right="140"/>
        <w:outlineLvl w:val="1"/>
        <w:rPr>
          <w:rFonts w:ascii="Times New Roman" w:eastAsiaTheme="majorEastAsia" w:hAnsi="Times New Roman" w:cs="Times New Roman"/>
          <w:b/>
          <w:color w:val="000000" w:themeColor="text1"/>
          <w:sz w:val="24"/>
          <w:szCs w:val="32"/>
        </w:rPr>
      </w:pPr>
      <w:bookmarkStart w:id="10" w:name="_Toc221706954"/>
      <w:r w:rsidRPr="00A97B7D">
        <w:rPr>
          <w:rFonts w:ascii="Times New Roman" w:eastAsiaTheme="majorEastAsia" w:hAnsi="Times New Roman" w:cs="Times New Roman"/>
          <w:b/>
          <w:color w:val="000000" w:themeColor="text1"/>
          <w:sz w:val="24"/>
          <w:szCs w:val="32"/>
        </w:rPr>
        <w:t>Kebaharuan</w:t>
      </w:r>
      <w:bookmarkEnd w:id="10"/>
    </w:p>
    <w:p w14:paraId="35467486" w14:textId="77777777" w:rsidR="00A97B7D" w:rsidRPr="00A97B7D" w:rsidRDefault="00A97B7D" w:rsidP="00A97B7D">
      <w:pPr>
        <w:spacing w:after="0"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Kebaharuan dalam penelitian ini terdapat pada data yang di gunakan di mana data tersebut merupakan data kelistrikan terbaru Sub sistem Lampung dan transmisi 150 kV Lampung tahun 2025 dengan adanya interkoneksi GITET 275 kV yang berasal dari Sistem Sumatera Bagian Selatan. Sehubungan dengan baru akan terlaksananya interkoneksi antara Sistem Sumatera Bagian Selatan dengan Sub sistem Lampung menggunakan Tegangan Ekstra Tinggi maka saat ini belum terdapat studi literatur yang membahas mengenai stabilitas Sub sistem Lampung dengan adanya Interkoneksi GITET 275 kV Lampung-1 dengan skenario lepasnya pembangkit besar yang ada di Sub sistem Lampung.</w:t>
      </w:r>
    </w:p>
    <w:p w14:paraId="6AF10C11" w14:textId="77777777" w:rsidR="00A97B7D" w:rsidRPr="00A97B7D" w:rsidRDefault="00A97B7D" w:rsidP="00A97B7D">
      <w:pPr>
        <w:keepNext/>
        <w:keepLines/>
        <w:numPr>
          <w:ilvl w:val="1"/>
          <w:numId w:val="1"/>
        </w:numPr>
        <w:spacing w:before="160" w:after="80" w:line="360" w:lineRule="auto"/>
        <w:outlineLvl w:val="1"/>
        <w:rPr>
          <w:rFonts w:ascii="Times New Roman" w:eastAsiaTheme="majorEastAsia" w:hAnsi="Times New Roman" w:cs="Times New Roman"/>
          <w:b/>
          <w:color w:val="000000" w:themeColor="text1"/>
          <w:sz w:val="24"/>
          <w:szCs w:val="32"/>
        </w:rPr>
      </w:pPr>
      <w:bookmarkStart w:id="11" w:name="_Toc221706955"/>
      <w:r w:rsidRPr="00A97B7D">
        <w:rPr>
          <w:rFonts w:ascii="Times New Roman" w:eastAsiaTheme="majorEastAsia" w:hAnsi="Times New Roman" w:cs="Times New Roman"/>
          <w:b/>
          <w:color w:val="000000" w:themeColor="text1"/>
          <w:sz w:val="24"/>
          <w:szCs w:val="32"/>
        </w:rPr>
        <w:lastRenderedPageBreak/>
        <w:t>Hipotesis</w:t>
      </w:r>
      <w:bookmarkEnd w:id="11"/>
    </w:p>
    <w:p w14:paraId="3C68E71B" w14:textId="77777777" w:rsidR="00A97B7D" w:rsidRPr="00A97B7D" w:rsidRDefault="00A97B7D" w:rsidP="00A97B7D">
      <w:pPr>
        <w:spacing w:line="360" w:lineRule="auto"/>
        <w:ind w:right="140" w:firstLine="426"/>
        <w:jc w:val="both"/>
        <w:rPr>
          <w:rFonts w:ascii="Times New Roman" w:hAnsi="Times New Roman" w:cs="Times New Roman"/>
          <w:sz w:val="24"/>
          <w:szCs w:val="24"/>
        </w:rPr>
      </w:pPr>
      <w:r w:rsidRPr="00A97B7D">
        <w:rPr>
          <w:rFonts w:ascii="Times New Roman" w:hAnsi="Times New Roman" w:cs="Times New Roman"/>
          <w:sz w:val="24"/>
          <w:szCs w:val="24"/>
        </w:rPr>
        <w:t xml:space="preserve">Berdasarkan latar belakang yang informasinya bersumber dari RUPTL 2021-2030 tersebut, Sub sistem Lampung saat ini tidak memiliki cadangan daya dan hanya bergantung pada PLTU Tarahan dan PLTU Sebalang sehingga ketika salah satu dari keduanya terjadi gangguan, diperkirakan di Sub sistem Lampung akan </w:t>
      </w:r>
      <w:r w:rsidRPr="00A97B7D">
        <w:rPr>
          <w:rFonts w:ascii="Times New Roman" w:hAnsi="Times New Roman" w:cs="Times New Roman"/>
          <w:i/>
          <w:iCs/>
          <w:sz w:val="24"/>
          <w:szCs w:val="24"/>
        </w:rPr>
        <w:t>collaps</w:t>
      </w:r>
      <w:r w:rsidRPr="00A97B7D">
        <w:rPr>
          <w:rFonts w:ascii="Times New Roman" w:hAnsi="Times New Roman" w:cs="Times New Roman"/>
          <w:sz w:val="24"/>
          <w:szCs w:val="24"/>
        </w:rPr>
        <w:t xml:space="preserve">. Maka dengan adanya interkoneksi dengan Sistem Sumatera melalui adanya GITET ini maka ketika salah satu dari kedua pembangkit tersebut gangguan, akan tetap ada </w:t>
      </w:r>
      <w:r w:rsidRPr="00A97B7D">
        <w:rPr>
          <w:rFonts w:ascii="Times New Roman" w:hAnsi="Times New Roman" w:cs="Times New Roman"/>
          <w:i/>
          <w:iCs/>
          <w:sz w:val="24"/>
          <w:szCs w:val="24"/>
        </w:rPr>
        <w:t>supply</w:t>
      </w:r>
      <w:r w:rsidRPr="00A97B7D">
        <w:rPr>
          <w:rFonts w:ascii="Times New Roman" w:hAnsi="Times New Roman" w:cs="Times New Roman"/>
          <w:sz w:val="24"/>
          <w:szCs w:val="24"/>
        </w:rPr>
        <w:t xml:space="preserve"> daya dari pembangkit pada sistem Sumatera Selatan, sehingga Stabilitas sistem dari Sub sistem Lampung akan terjaga.</w:t>
      </w:r>
    </w:p>
    <w:p w14:paraId="2DF50F9D" w14:textId="3356EEE9" w:rsidR="00D31B23" w:rsidRDefault="00D31B23"/>
    <w:sectPr w:rsidR="00D31B23" w:rsidSect="003C30C7">
      <w:pgSz w:w="11906" w:h="16838"/>
      <w:pgMar w:top="1985" w:right="1134"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122F" w14:textId="77777777" w:rsidR="00DC2012" w:rsidRDefault="00DC2012" w:rsidP="003C30C7">
      <w:pPr>
        <w:spacing w:after="0" w:line="240" w:lineRule="auto"/>
      </w:pPr>
      <w:r>
        <w:separator/>
      </w:r>
    </w:p>
  </w:endnote>
  <w:endnote w:type="continuationSeparator" w:id="0">
    <w:p w14:paraId="25B3B7C8" w14:textId="77777777" w:rsidR="00DC2012" w:rsidRDefault="00DC2012" w:rsidP="003C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2AE6" w14:textId="77777777" w:rsidR="00DC2012" w:rsidRDefault="00DC2012" w:rsidP="003C30C7">
      <w:pPr>
        <w:spacing w:after="0" w:line="240" w:lineRule="auto"/>
      </w:pPr>
      <w:r>
        <w:separator/>
      </w:r>
    </w:p>
  </w:footnote>
  <w:footnote w:type="continuationSeparator" w:id="0">
    <w:p w14:paraId="0992703F" w14:textId="77777777" w:rsidR="00DC2012" w:rsidRDefault="00DC2012" w:rsidP="003C3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770"/>
    <w:multiLevelType w:val="hybridMultilevel"/>
    <w:tmpl w:val="597AF702"/>
    <w:lvl w:ilvl="0" w:tplc="470042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CE55024"/>
    <w:multiLevelType w:val="multilevel"/>
    <w:tmpl w:val="964C8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5A7876"/>
    <w:multiLevelType w:val="hybridMultilevel"/>
    <w:tmpl w:val="0FD4914A"/>
    <w:lvl w:ilvl="0" w:tplc="11AC5A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4E73D1A"/>
    <w:multiLevelType w:val="hybridMultilevel"/>
    <w:tmpl w:val="417A3AC4"/>
    <w:lvl w:ilvl="0" w:tplc="D2C0B9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6AA503A1"/>
    <w:multiLevelType w:val="hybridMultilevel"/>
    <w:tmpl w:val="C64842AE"/>
    <w:lvl w:ilvl="0" w:tplc="0B82F3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412774412">
    <w:abstractNumId w:val="1"/>
  </w:num>
  <w:num w:numId="2" w16cid:durableId="1705516606">
    <w:abstractNumId w:val="3"/>
  </w:num>
  <w:num w:numId="3" w16cid:durableId="2050762363">
    <w:abstractNumId w:val="4"/>
  </w:num>
  <w:num w:numId="4" w16cid:durableId="1389844969">
    <w:abstractNumId w:val="2"/>
  </w:num>
  <w:num w:numId="5" w16cid:durableId="98030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C7"/>
    <w:rsid w:val="00054B7B"/>
    <w:rsid w:val="001274C6"/>
    <w:rsid w:val="00133E2D"/>
    <w:rsid w:val="001C7AE1"/>
    <w:rsid w:val="00352A58"/>
    <w:rsid w:val="00373B6B"/>
    <w:rsid w:val="0037484B"/>
    <w:rsid w:val="003C30C7"/>
    <w:rsid w:val="0043464B"/>
    <w:rsid w:val="004A74C2"/>
    <w:rsid w:val="007417DB"/>
    <w:rsid w:val="00743794"/>
    <w:rsid w:val="00770125"/>
    <w:rsid w:val="007C1E70"/>
    <w:rsid w:val="008424CF"/>
    <w:rsid w:val="008B0986"/>
    <w:rsid w:val="00A86B74"/>
    <w:rsid w:val="00A97B7D"/>
    <w:rsid w:val="00B533FF"/>
    <w:rsid w:val="00B722D3"/>
    <w:rsid w:val="00C32A3B"/>
    <w:rsid w:val="00C958B5"/>
    <w:rsid w:val="00CE05B6"/>
    <w:rsid w:val="00D31B23"/>
    <w:rsid w:val="00DC2012"/>
    <w:rsid w:val="00E11327"/>
    <w:rsid w:val="00E51287"/>
    <w:rsid w:val="00F205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4844"/>
  <w15:chartTrackingRefBased/>
  <w15:docId w15:val="{CCBDB4D4-5112-41EF-9861-3D89D6E3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C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3C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3C30C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3C30C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3C30C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3C30C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C30C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C30C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C30C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C30C7"/>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3C30C7"/>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3C30C7"/>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3C30C7"/>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3C30C7"/>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3C30C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C30C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C30C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C30C7"/>
    <w:rPr>
      <w:rFonts w:eastAsiaTheme="majorEastAsia" w:cstheme="majorBidi"/>
      <w:color w:val="272727" w:themeColor="text1" w:themeTint="D8"/>
    </w:rPr>
  </w:style>
  <w:style w:type="paragraph" w:styleId="Judul">
    <w:name w:val="Title"/>
    <w:basedOn w:val="Normal"/>
    <w:next w:val="Normal"/>
    <w:link w:val="JudulKAR"/>
    <w:uiPriority w:val="10"/>
    <w:qFormat/>
    <w:rsid w:val="003C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C30C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C30C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C30C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C30C7"/>
    <w:pPr>
      <w:spacing w:before="160"/>
      <w:jc w:val="center"/>
    </w:pPr>
    <w:rPr>
      <w:i/>
      <w:iCs/>
      <w:color w:val="404040" w:themeColor="text1" w:themeTint="BF"/>
    </w:rPr>
  </w:style>
  <w:style w:type="character" w:customStyle="1" w:styleId="KutipanKAR">
    <w:name w:val="Kutipan KAR"/>
    <w:basedOn w:val="FontParagrafDefault"/>
    <w:link w:val="Kutipan"/>
    <w:uiPriority w:val="29"/>
    <w:rsid w:val="003C30C7"/>
    <w:rPr>
      <w:i/>
      <w:iCs/>
      <w:color w:val="404040" w:themeColor="text1" w:themeTint="BF"/>
    </w:rPr>
  </w:style>
  <w:style w:type="paragraph" w:styleId="DaftarParagraf">
    <w:name w:val="List Paragraph"/>
    <w:basedOn w:val="Normal"/>
    <w:uiPriority w:val="34"/>
    <w:qFormat/>
    <w:rsid w:val="003C30C7"/>
    <w:pPr>
      <w:ind w:left="720"/>
      <w:contextualSpacing/>
    </w:pPr>
  </w:style>
  <w:style w:type="character" w:styleId="PenekananKeras">
    <w:name w:val="Intense Emphasis"/>
    <w:basedOn w:val="FontParagrafDefault"/>
    <w:uiPriority w:val="21"/>
    <w:qFormat/>
    <w:rsid w:val="003C30C7"/>
    <w:rPr>
      <w:i/>
      <w:iCs/>
      <w:color w:val="0F4761" w:themeColor="accent1" w:themeShade="BF"/>
    </w:rPr>
  </w:style>
  <w:style w:type="paragraph" w:styleId="KutipanyangSering">
    <w:name w:val="Intense Quote"/>
    <w:basedOn w:val="Normal"/>
    <w:next w:val="Normal"/>
    <w:link w:val="KutipanyangSeringKAR"/>
    <w:uiPriority w:val="30"/>
    <w:qFormat/>
    <w:rsid w:val="003C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3C30C7"/>
    <w:rPr>
      <w:i/>
      <w:iCs/>
      <w:color w:val="0F4761" w:themeColor="accent1" w:themeShade="BF"/>
    </w:rPr>
  </w:style>
  <w:style w:type="character" w:styleId="ReferensiyangSering">
    <w:name w:val="Intense Reference"/>
    <w:basedOn w:val="FontParagrafDefault"/>
    <w:uiPriority w:val="32"/>
    <w:qFormat/>
    <w:rsid w:val="003C30C7"/>
    <w:rPr>
      <w:b/>
      <w:bCs/>
      <w:smallCaps/>
      <w:color w:val="0F4761" w:themeColor="accent1" w:themeShade="BF"/>
      <w:spacing w:val="5"/>
    </w:rPr>
  </w:style>
  <w:style w:type="paragraph" w:styleId="Header">
    <w:name w:val="header"/>
    <w:basedOn w:val="Normal"/>
    <w:link w:val="HeaderKAR"/>
    <w:uiPriority w:val="99"/>
    <w:unhideWhenUsed/>
    <w:rsid w:val="003C30C7"/>
    <w:pPr>
      <w:tabs>
        <w:tab w:val="center" w:pos="4513"/>
        <w:tab w:val="right" w:pos="9026"/>
      </w:tabs>
      <w:spacing w:after="0" w:line="240" w:lineRule="auto"/>
    </w:pPr>
  </w:style>
  <w:style w:type="character" w:customStyle="1" w:styleId="HeaderKAR">
    <w:name w:val="Header KAR"/>
    <w:basedOn w:val="FontParagrafDefault"/>
    <w:link w:val="Header"/>
    <w:uiPriority w:val="99"/>
    <w:rsid w:val="003C30C7"/>
  </w:style>
  <w:style w:type="paragraph" w:styleId="Footer">
    <w:name w:val="footer"/>
    <w:basedOn w:val="Normal"/>
    <w:link w:val="FooterKAR"/>
    <w:uiPriority w:val="99"/>
    <w:unhideWhenUsed/>
    <w:rsid w:val="003C30C7"/>
    <w:pPr>
      <w:tabs>
        <w:tab w:val="center" w:pos="4513"/>
        <w:tab w:val="right" w:pos="9026"/>
      </w:tabs>
      <w:spacing w:after="0" w:line="240" w:lineRule="auto"/>
    </w:pPr>
  </w:style>
  <w:style w:type="character" w:customStyle="1" w:styleId="FooterKAR">
    <w:name w:val="Footer KAR"/>
    <w:basedOn w:val="FontParagrafDefault"/>
    <w:link w:val="Footer"/>
    <w:uiPriority w:val="99"/>
    <w:rsid w:val="003C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1586</Words>
  <Characters>9043</Characters>
  <Application>Microsoft Office Word</Application>
  <DocSecurity>0</DocSecurity>
  <Lines>75</Lines>
  <Paragraphs>21</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 Andriani</dc:creator>
  <cp:keywords/>
  <dc:description/>
  <cp:lastModifiedBy>Septi Andriani</cp:lastModifiedBy>
  <cp:revision>2</cp:revision>
  <dcterms:created xsi:type="dcterms:W3CDTF">2026-02-27T05:10:00Z</dcterms:created>
  <dcterms:modified xsi:type="dcterms:W3CDTF">2026-02-27T05:15:00Z</dcterms:modified>
</cp:coreProperties>
</file>